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2014年河北省科协部门决算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目录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sz w:val="32"/>
          <w:szCs w:val="32"/>
          <w:lang w:eastAsia="zh-CN"/>
        </w:rPr>
        <w:t>河北省科协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一、部门职责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二、部门决算单位构成</w:t>
      </w:r>
    </w:p>
    <w:p>
      <w:pPr>
        <w:ind w:firstLine="640" w:firstLineChars="200"/>
        <w:rPr>
          <w:rFonts w:ascii="仿宋_GB2312" w:hAnsi="黑体" w:eastAsia="仿宋_GB2312"/>
          <w:sz w:val="20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sz w:val="32"/>
          <w:szCs w:val="32"/>
          <w:lang w:eastAsia="zh-CN"/>
        </w:rPr>
        <w:t>河北省科协</w:t>
      </w:r>
      <w:r>
        <w:rPr>
          <w:rFonts w:hint="eastAsia" w:ascii="黑体" w:hAnsi="黑体" w:eastAsia="黑体"/>
          <w:sz w:val="32"/>
          <w:szCs w:val="32"/>
        </w:rPr>
        <w:t>2014年度部门决算报表</w:t>
      </w:r>
      <w:r>
        <w:rPr>
          <w:rFonts w:hint="eastAsia" w:ascii="仿宋_GB2312" w:hAnsi="黑体" w:eastAsia="仿宋_GB2312"/>
          <w:sz w:val="24"/>
          <w:szCs w:val="32"/>
        </w:rPr>
        <w:t>（财政批复表及“三公”经费支出表）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一、收入支出决算总表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二、收入决算表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三、支出决算表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四、财政拨款收入支出决算总表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五、一般公共预算财政拨款收入支出决算表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六、一般公共预算财政拨款基本支出决算表（按经济分类）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七、一般公共预算财政拨款“三公”经费支出决算表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八、政府性基金预算财政拨款收入支出决算表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sz w:val="32"/>
          <w:szCs w:val="32"/>
          <w:lang w:eastAsia="zh-CN"/>
        </w:rPr>
        <w:t>河北省科协</w:t>
      </w:r>
      <w:r>
        <w:rPr>
          <w:rFonts w:hint="eastAsia" w:ascii="黑体" w:hAnsi="黑体" w:eastAsia="黑体"/>
          <w:sz w:val="32"/>
          <w:szCs w:val="32"/>
        </w:rPr>
        <w:t>2014年部门决算情况说明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一、收入支出决算总体情况说明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二、收入决算情况说明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三、支出决算情况说明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四、财政拨款收入支出决算总体情况说明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五、一般公共预算财政拨款支出决算情况说明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六、一般公共预算财政拨款基本支出决算情况说明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七、一般公共预算财政拨款“三公”经费支出决算情况说明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八、政府性基金预算财政拨款收入支出决算情况说明</w:t>
      </w:r>
    </w:p>
    <w:p>
      <w:pPr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九、其他重要事项的情况说明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ind w:left="640"/>
        <w:rPr>
          <w:rFonts w:hint="eastAsia"/>
          <w:sz w:val="52"/>
          <w:szCs w:val="5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对专业性较强的名词进行解释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sz w:val="32"/>
          <w:szCs w:val="32"/>
          <w:lang w:eastAsia="zh-CN"/>
        </w:rPr>
        <w:t>河北省科协</w:t>
      </w:r>
      <w:r>
        <w:rPr>
          <w:rFonts w:hint="eastAsia" w:ascii="黑体" w:hAnsi="黑体" w:eastAsia="黑体"/>
          <w:sz w:val="32"/>
          <w:szCs w:val="32"/>
        </w:rPr>
        <w:t>概况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一、部门职责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1、开展学术交流，活跃学术思想，促进学科发展、知识创新。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2、普及科学知识，传播科学思想和科学方法，推广先进技术，开展青少年科学技术教育活动。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3、维护科学技术工作者的合法权益。反映科学技术工作者的意见和要求，组织科学技术工作者参与科技政策、地方性法规的拟订和国家事务的政治协商、科学决策、民主监督工作。  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4、表彰奖励优秀科学技术工作者，举荐人才。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5、开展科学论证、咨询服务工作，提出政策建议，促进科学技术成果的转化。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6、开展有关民间国际科技交流活动，发展同国外的科学技术团体和科学技术工作者的友好交往。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7、开展科技工作者的继续教育和培训工作。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8、负责指导所主管的有关学会和科技类社会团体的工作；对设区市科协进行业务指导。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9、承担省委、省政府交办的有关事项。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二、部门决算单位构成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1、河北省省科协机关；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2、河北省科技馆；</w:t>
      </w:r>
    </w:p>
    <w:p>
      <w:pPr>
        <w:ind w:left="64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3、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河北省青少年科技中心；</w:t>
      </w:r>
    </w:p>
    <w:p>
      <w:pPr>
        <w:ind w:left="64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4、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河北科技报社；</w:t>
      </w:r>
    </w:p>
    <w:p>
      <w:pPr>
        <w:ind w:left="64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5、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河北省科技工作者服务中心；</w:t>
      </w:r>
    </w:p>
    <w:p>
      <w:pPr>
        <w:ind w:left="640"/>
        <w:rPr>
          <w:rFonts w:hint="eastAsia" w:ascii="仿宋_GB2312" w:eastAsia="仿宋_GB2312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6、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河北省科学技术普及服务中心收；</w:t>
      </w:r>
    </w:p>
    <w:p>
      <w:pPr>
        <w:ind w:lef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7、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河北省科协信息中心。</w:t>
      </w:r>
    </w:p>
    <w:p>
      <w:pPr>
        <w:rPr>
          <w:rFonts w:hint="eastAsia" w:ascii="仿宋_GB2312" w:hAnsi="黑体" w:eastAsia="仿宋_GB2312"/>
          <w:sz w:val="24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sz w:val="32"/>
          <w:szCs w:val="32"/>
          <w:lang w:eastAsia="zh-CN"/>
        </w:rPr>
        <w:t>河北省科协</w:t>
      </w:r>
      <w:r>
        <w:rPr>
          <w:rFonts w:hint="eastAsia" w:ascii="黑体" w:hAnsi="黑体" w:eastAsia="黑体"/>
          <w:sz w:val="32"/>
          <w:szCs w:val="32"/>
        </w:rPr>
        <w:t>2014年度部门决算报表</w:t>
      </w:r>
      <w:r>
        <w:rPr>
          <w:rFonts w:hint="eastAsia" w:ascii="仿宋_GB2312" w:hAnsi="黑体" w:eastAsia="仿宋_GB2312"/>
          <w:sz w:val="24"/>
          <w:szCs w:val="32"/>
        </w:rPr>
        <w:t>（财政批复表及“三公”经费支出表）</w:t>
      </w: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  <w:r>
        <w:drawing>
          <wp:inline distT="0" distB="0" distL="114300" distR="114300">
            <wp:extent cx="6757035" cy="67779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67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黑体" w:eastAsia="仿宋_GB2312"/>
          <w:sz w:val="24"/>
          <w:szCs w:val="32"/>
        </w:rPr>
      </w:pPr>
      <w:r>
        <w:drawing>
          <wp:inline distT="0" distB="0" distL="114300" distR="114300">
            <wp:extent cx="5272405" cy="346075"/>
            <wp:effectExtent l="0" t="0" r="444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  <w:sectPr>
          <w:pgSz w:w="11906" w:h="16838"/>
          <w:pgMar w:top="567" w:right="567" w:bottom="567" w:left="567" w:header="851" w:footer="992" w:gutter="0"/>
          <w:cols w:space="425" w:num="1"/>
          <w:docGrid w:type="lines" w:linePitch="312" w:charSpace="0"/>
        </w:sectPr>
      </w:pPr>
    </w:p>
    <w:p>
      <w:p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10057765" cy="6659245"/>
            <wp:effectExtent l="0" t="0" r="63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665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9780905" cy="7027545"/>
            <wp:effectExtent l="0" t="0" r="1079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0905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9971405" cy="5654040"/>
            <wp:effectExtent l="0" t="0" r="1079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1405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9780905" cy="6540500"/>
            <wp:effectExtent l="0" t="0" r="1079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0905" cy="654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314"/>
        <w:gridCol w:w="1787"/>
        <w:gridCol w:w="2070"/>
        <w:gridCol w:w="2115"/>
        <w:gridCol w:w="216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6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公共预算财政拨款基本支出决算表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7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部门：河北省科学技术协会（汇总）</w:t>
            </w:r>
          </w:p>
        </w:tc>
        <w:tc>
          <w:tcPr>
            <w:tcW w:w="211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115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03" w:type="dxa"/>
            <w:vMerge w:val="restar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310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0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0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栏次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0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1,037.46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1,037.46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251.69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251.69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207.53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207.53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11.93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11.93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30104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社会保障缴费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30105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371.98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371.98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109.38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109.38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204.41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维修(护)费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15.66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18.06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519.92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519.92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333.98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333.98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19.26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19.26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生产补贴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82.89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提租补贴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30313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购房补贴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31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办公设备购置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  <w:tc>
          <w:tcPr>
            <w:tcW w:w="21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45" w:hRule="atLeast"/>
        </w:trPr>
        <w:tc>
          <w:tcPr>
            <w:tcW w:w="10749" w:type="dxa"/>
            <w:gridSpan w:val="6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注：本表反映部门本年度一般公共预算财政拨款基本支出明细情况。</w:t>
            </w:r>
          </w:p>
        </w:tc>
      </w:tr>
    </w:tbl>
    <w:p>
      <w:pPr/>
    </w:p>
    <w:p>
      <w:pPr>
        <w:rPr>
          <w:rFonts w:hint="eastAsia"/>
        </w:rPr>
        <w:sectPr>
          <w:pgSz w:w="11906" w:h="16838"/>
          <w:pgMar w:top="567" w:right="567" w:bottom="567" w:left="567" w:header="851" w:footer="992" w:gutter="0"/>
          <w:cols w:space="425" w:num="1"/>
          <w:docGrid w:type="lines" w:linePitch="312" w:charSpace="0"/>
        </w:sectPr>
      </w:pPr>
    </w:p>
    <w:p>
      <w:p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9897110" cy="3581400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711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9199880" cy="456184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9880" cy="45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sz w:val="32"/>
          <w:szCs w:val="32"/>
          <w:lang w:eastAsia="zh-CN"/>
        </w:rPr>
        <w:t>河北省科协</w:t>
      </w:r>
      <w:r>
        <w:rPr>
          <w:rFonts w:hint="eastAsia" w:ascii="黑体" w:hAnsi="黑体" w:eastAsia="黑体"/>
          <w:sz w:val="32"/>
          <w:szCs w:val="32"/>
        </w:rPr>
        <w:t>2014年部门决算情况说明</w:t>
      </w:r>
    </w:p>
    <w:p>
      <w:pPr>
        <w:numPr>
          <w:ilvl w:val="0"/>
          <w:numId w:val="1"/>
        </w:num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收入支出决算总体情况说明</w:t>
      </w:r>
    </w:p>
    <w:p>
      <w:pPr>
        <w:ind w:firstLine="42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sz w:val="28"/>
          <w:szCs w:val="28"/>
        </w:rPr>
        <w:t>河北省科协</w:t>
      </w:r>
      <w:r>
        <w:rPr>
          <w:rFonts w:hint="eastAsia"/>
          <w:sz w:val="28"/>
          <w:szCs w:val="28"/>
          <w:lang w:eastAsia="zh-CN"/>
        </w:rPr>
        <w:t>部门</w:t>
      </w:r>
      <w:r>
        <w:rPr>
          <w:sz w:val="28"/>
          <w:szCs w:val="28"/>
        </w:rPr>
        <w:t>2014年收入合计为5972.6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万元，较上年减少1236.32万元，减幅为17.15%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sz w:val="28"/>
          <w:szCs w:val="28"/>
        </w:rPr>
        <w:t>河北省科协本级2014年支出合计为5777.13万元，比</w:t>
      </w:r>
      <w:r>
        <w:rPr>
          <w:rFonts w:hint="eastAsia"/>
          <w:sz w:val="28"/>
          <w:szCs w:val="28"/>
          <w:lang w:eastAsia="zh-CN"/>
        </w:rPr>
        <w:t>上年</w:t>
      </w:r>
      <w:r>
        <w:rPr>
          <w:sz w:val="28"/>
          <w:szCs w:val="28"/>
        </w:rPr>
        <w:t>年支出合计减少1423.41万元，减幅20%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减少原因主要是2014年河北省财政要求科普经费支付方式改变，有原来的授权或者直接支付改为转列支出，预算数含这部分的经费，但决算数据里不显示。</w:t>
      </w:r>
    </w:p>
    <w:p>
      <w:pPr>
        <w:numPr>
          <w:ilvl w:val="0"/>
          <w:numId w:val="1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收入决算情况说明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河北省科协</w:t>
      </w:r>
      <w:r>
        <w:rPr>
          <w:rFonts w:hint="eastAsia"/>
          <w:sz w:val="28"/>
          <w:szCs w:val="28"/>
          <w:lang w:eastAsia="zh-CN"/>
        </w:rPr>
        <w:t>部门</w:t>
      </w:r>
      <w:r>
        <w:rPr>
          <w:sz w:val="28"/>
          <w:szCs w:val="28"/>
        </w:rPr>
        <w:t>2014年收入合计为5972.64万元，其中财政拨款4753.35万元，事业收入1089.54万元，其他收入65.40万元，经营收入59.5万元，上级补助收入4.85万元。收入构成比例情况如下图：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  <w:r>
        <w:rPr>
          <w:sz w:val="28"/>
          <w:szCs w:val="28"/>
        </w:rPr>
        <w:drawing>
          <wp:inline distT="0" distB="0" distL="114300" distR="114300">
            <wp:extent cx="5133975" cy="43719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支出决算情况说明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河北省科协本级2014年支出合计为5777.13万元，其中科技条件专项550万元，占年度总支出的9.52%,机构运行426.8万元，占年度总支出的7.39%；科普活动经费824.56万元，占年度总支出的14.27%；青少年科技活动142.94万元，占年度总支出的2.47%；学术交流活动200万元，占年度总支出的3.46%；科技馆站1421.48万元，占年度总支出的24.6%；其他科学技术普及支出1522.46万元（主要包括科技报和咨询中心经费），占年度总支出的26.35%，社会保障和就业支出429.47万元，占年度总支出的7.43%；医疗和住房公积金229.42万元，占年度总支出的3.97%,支援其他地区支出30万元。支出构成比例情况如下图：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  <w:r>
        <w:drawing>
          <wp:inline distT="0" distB="0" distL="114300" distR="114300">
            <wp:extent cx="4933315" cy="4504690"/>
            <wp:effectExtent l="0" t="0" r="63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450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财政拨款收入支出决算总体情况说明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河北省科协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2014年财政预算拨款收支总决算为4753.37万元，上年增加784.78万元，增加的主要原因是科技馆获得专项改造资金。</w:t>
      </w:r>
    </w:p>
    <w:p>
      <w:pPr>
        <w:numPr>
          <w:ilvl w:val="0"/>
          <w:numId w:val="1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一般公共预算财政拨款支出决算情况说明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河北省科协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2014年财政预算拨款收支总决算为4753.37万元，占全年总支出的82.3%，较上年50%比重增较32.3%。其中科学技术支出4099万元，占财政预算拨款总支出的86.23%，社会保障和就业支出429.47万元，占财政预算拨款总支出的9.03%，医疗保障和公积金支出229.42万元，占财政预算拨款总支出的4.74%。</w:t>
      </w:r>
    </w:p>
    <w:p>
      <w:pPr>
        <w:numPr>
          <w:ilvl w:val="0"/>
          <w:numId w:val="1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一般公共预算财政拨款基本支出决算情况说明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河北省科协2014</w:t>
      </w:r>
      <w:r>
        <w:rPr>
          <w:rFonts w:hint="eastAsia" w:ascii="仿宋_GB2312" w:eastAsia="仿宋_GB2312"/>
          <w:sz w:val="32"/>
          <w:szCs w:val="32"/>
        </w:rPr>
        <w:t>一般公共预算财政拨款基本支出</w:t>
      </w:r>
      <w:r>
        <w:rPr>
          <w:rFonts w:hint="eastAsia" w:ascii="仿宋_GB2312" w:eastAsia="仿宋_GB2312"/>
          <w:sz w:val="32"/>
          <w:szCs w:val="32"/>
          <w:lang w:eastAsia="zh-CN"/>
        </w:rPr>
        <w:t>总额为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1762.67万元，其中人员经费1037.42万元，包括基本工资、津贴补贴、奖金、社会保障缴费、绩效工资、其他工资福利支出、离休费、退休费、医疗费、公积金及其他对个人和家庭补助；商品和服务支出204.41万元，包括办公费、印刷费、邮寄费、水费、电费、物业费、差旅费、取暖费、维修费、工会经费、福利费、公车维护费、税金及附加费等。</w:t>
      </w:r>
    </w:p>
    <w:p>
      <w:pPr>
        <w:numPr>
          <w:ilvl w:val="0"/>
          <w:numId w:val="1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一般公共预算财政拨款“三公”经费支出决算情况说明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河北省科协2014年一般公共预算财政拨款“三公”经费支出113.67万元，完成预算数的68.66%，较上年减少60万元。减少原因认真贯彻落实中央“八项规定”精神和厉行节约要求，进一步从严控制“三公”经费开支，全年支出较预算有所减少。出国经费20.83万元，安排出国（婧）团组2个，参加其他单位组织的出国（境）团组1个，全年因公出国（境）累计7人次，完成预算数的62.53%，较上年减少23.41万元；公车运行费88.73万元，未购置新车，原公车保有量22万元，完成预算数的77.60%，较上年26.69万元；公务接待4.11万元，累计接待6个批次（12人次），完成预算数的23%，较上年减少9.49万元。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1、财政拨款收入：指省级财政部门当年核拨给单位的财政预算资金。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2、事业收入：指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"http://baike.haosou.com/doc/1685506-1782299.html" \t "http://baike.haosou.com/doc/_blank"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事业单位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开展专业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"http://baike.haosou.com/doc/5411680-5649795.html" \t "http://baike.haosou.com/doc/_blank"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业务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活动及辅助活动所取得的收入。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3、经营收入：事业单位在专业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"http://baike.haosou.com/doc/5411680-5649795.html" \t "http://baike.haosou.com/doc/_blank"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sz w:val="32"/>
          <w:szCs w:val="32"/>
          <w:lang w:val="en-US" w:eastAsia="zh-CN"/>
        </w:rPr>
        <w:t>业务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sz w:val="32"/>
          <w:szCs w:val="32"/>
          <w:lang w:val="en-US" w:eastAsia="zh-CN"/>
        </w:rPr>
        <w:t>活动及其辅助活动之外开展非独立核算经营活动取得的收入。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4、其他收入：指财政拨款收入、事业收入、经营收入意外的收入。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 w:ascii="仿宋_GB2312" w:hAnsi="黑体" w:eastAsia="仿宋_GB2312"/>
          <w:sz w:val="24"/>
          <w:szCs w:val="32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6712235">
    <w:nsid w:val="563B13AB"/>
    <w:multiLevelType w:val="singleLevel"/>
    <w:tmpl w:val="563B13AB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467122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30491"/>
    <w:rsid w:val="0AE31DDE"/>
    <w:rsid w:val="116D1E5C"/>
    <w:rsid w:val="1F563838"/>
    <w:rsid w:val="262B7479"/>
    <w:rsid w:val="4C702637"/>
    <w:rsid w:val="4ED30491"/>
    <w:rsid w:val="50EC1D2E"/>
    <w:rsid w:val="67CD0499"/>
    <w:rsid w:val="6D0D3D36"/>
    <w:rsid w:val="7D7325E7"/>
    <w:rsid w:val="7DF13A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2015-11-05T06:18:00Z</dcterms:created>
  <dc:creator>152</dc:creator>
  <cp:lastModifiedBy>152</cp:lastModifiedBy>
  <dcterms:modified xsi:type="dcterms:W3CDTF">2015-11-05T09:53:27Z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